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99C4" w14:textId="77777777" w:rsidR="007F5961" w:rsidRDefault="007F5961" w:rsidP="00FC49F0">
      <w:pPr>
        <w:pStyle w:val="Sansinterligne"/>
      </w:pPr>
    </w:p>
    <w:p w14:paraId="2FD1ED4A" w14:textId="77777777" w:rsidR="00694746" w:rsidRDefault="00694746" w:rsidP="00FC49F0">
      <w:pPr>
        <w:pStyle w:val="Sansinterligne"/>
      </w:pPr>
    </w:p>
    <w:p w14:paraId="2388F7BE" w14:textId="77777777" w:rsidR="00FC49F0" w:rsidRDefault="00FC49F0" w:rsidP="00FC49F0">
      <w:pPr>
        <w:pStyle w:val="Sansinterligne"/>
      </w:pPr>
    </w:p>
    <w:p w14:paraId="5894EEEA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7AF4C52C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649E7E5E" w14:textId="498F6CD0" w:rsidR="00964B07" w:rsidRPr="007F5961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7F5961" w:rsidRPr="007F596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ECRIN252</w:t>
            </w:r>
          </w:p>
          <w:p w14:paraId="2F62C38D" w14:textId="05F0EB25" w:rsidR="00F34EFD" w:rsidRPr="00AB67BE" w:rsidRDefault="007F5961" w:rsidP="00250B4F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d’un SMPS (Scanning </w:t>
            </w:r>
            <w:proofErr w:type="spellStart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>Mobility</w:t>
            </w:r>
            <w:proofErr w:type="spellEnd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proofErr w:type="spellStart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>Particle</w:t>
            </w:r>
            <w:proofErr w:type="spellEnd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proofErr w:type="spellStart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>Sizer</w:t>
            </w:r>
            <w:proofErr w:type="spellEnd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) comprenant un impacteur, un </w:t>
            </w:r>
            <w:proofErr w:type="spellStart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>neutraliseur</w:t>
            </w:r>
            <w:proofErr w:type="spellEnd"/>
            <w:r w:rsidRPr="007F5961">
              <w:rPr>
                <w:rFonts w:ascii="Marianne" w:hAnsi="Marianne"/>
                <w:b/>
                <w:color w:val="5862ED"/>
                <w:sz w:val="24"/>
                <w:szCs w:val="24"/>
              </w:rPr>
              <w:t>, une colonne DMA, un CPC et une plateforme de pilotage pour le laboratoire PC2A de l’Université de Lille dans le cadre du FEDER ECRIN</w:t>
            </w:r>
          </w:p>
        </w:tc>
      </w:tr>
    </w:tbl>
    <w:p w14:paraId="1B3D17BB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11C42665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2D01B2C8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35345E13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3509DA51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6091FFA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371CAFC2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628F7B91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7F5961">
        <w:rPr>
          <w:rFonts w:ascii="Marianne" w:hAnsi="Marianne"/>
        </w:rPr>
        <w:t>s</w:t>
      </w:r>
      <w:r w:rsidR="000431DE" w:rsidRPr="007F5961">
        <w:rPr>
          <w:rFonts w:ascii="Marianne" w:hAnsi="Marianne"/>
        </w:rPr>
        <w:t>on</w:t>
      </w:r>
      <w:r w:rsidR="004C7069" w:rsidRPr="007F5961">
        <w:rPr>
          <w:rFonts w:ascii="Marianne" w:hAnsi="Marianne"/>
        </w:rPr>
        <w:t xml:space="preserve"> </w:t>
      </w:r>
      <w:r w:rsidRPr="007F5961">
        <w:rPr>
          <w:rFonts w:ascii="Marianne" w:hAnsi="Marianne"/>
        </w:rPr>
        <w:t>annexe</w:t>
      </w:r>
    </w:p>
    <w:p w14:paraId="35845E91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322CA1F1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754D560A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32EAC661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73C93DBE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0A529F4F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1EB641CA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51069CAD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05B57ED4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5D05C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26EAB805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77D8" w14:textId="77777777" w:rsidR="00014309" w:rsidRDefault="00014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FF4C" w14:textId="12AD7DF1" w:rsidR="009D0324" w:rsidRPr="007F5961" w:rsidRDefault="007F5961" w:rsidP="009D0324">
    <w:pPr>
      <w:pStyle w:val="Pieddepage"/>
      <w:rPr>
        <w:rFonts w:ascii="Marianne" w:hAnsi="Marianne"/>
        <w:sz w:val="18"/>
        <w:szCs w:val="18"/>
      </w:rPr>
    </w:pPr>
    <w:r w:rsidRPr="007F5961">
      <w:rPr>
        <w:rFonts w:ascii="Marianne" w:hAnsi="Marianne"/>
        <w:sz w:val="18"/>
        <w:szCs w:val="18"/>
      </w:rPr>
      <w:t>ECRIN252</w:t>
    </w:r>
    <w:r w:rsidR="009D0324" w:rsidRPr="007F5961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3812" w14:textId="77777777" w:rsidR="00014309" w:rsidRDefault="0001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40A2A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604BD474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3526" w14:textId="77777777" w:rsidR="00014309" w:rsidRDefault="00014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D514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25121A38" wp14:editId="4284AF6F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0AD046EC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733D795D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1865D661" w14:textId="77777777" w:rsidR="00FC49F0" w:rsidRPr="00AB67BE" w:rsidRDefault="00250B4F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D5A9" w14:textId="77777777" w:rsidR="00014309" w:rsidRDefault="00014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50B4F"/>
    <w:rsid w:val="002D2246"/>
    <w:rsid w:val="002E46B1"/>
    <w:rsid w:val="00365206"/>
    <w:rsid w:val="003A40CB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4F449A"/>
    <w:rsid w:val="0051219D"/>
    <w:rsid w:val="0051369E"/>
    <w:rsid w:val="0051414A"/>
    <w:rsid w:val="00530637"/>
    <w:rsid w:val="00557384"/>
    <w:rsid w:val="005600DE"/>
    <w:rsid w:val="00575015"/>
    <w:rsid w:val="00576B9A"/>
    <w:rsid w:val="005D3226"/>
    <w:rsid w:val="00661945"/>
    <w:rsid w:val="00692E7C"/>
    <w:rsid w:val="00694746"/>
    <w:rsid w:val="006C6108"/>
    <w:rsid w:val="00741E7E"/>
    <w:rsid w:val="007A713D"/>
    <w:rsid w:val="007F3CB1"/>
    <w:rsid w:val="007F5961"/>
    <w:rsid w:val="008161FE"/>
    <w:rsid w:val="00867063"/>
    <w:rsid w:val="0088197E"/>
    <w:rsid w:val="00881E2E"/>
    <w:rsid w:val="008A0874"/>
    <w:rsid w:val="00964B07"/>
    <w:rsid w:val="00974DCA"/>
    <w:rsid w:val="009D0324"/>
    <w:rsid w:val="009E294E"/>
    <w:rsid w:val="00A8688F"/>
    <w:rsid w:val="00A91D41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CF4DC1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6671DF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2025-07-17T20:49:00Z</dcterms:modified>
</cp:coreProperties>
</file>